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E7781" w14:textId="77777777" w:rsidR="00861908" w:rsidRDefault="00861908" w:rsidP="008B37D2">
      <w:pPr>
        <w:pStyle w:val="Heading1"/>
      </w:pPr>
    </w:p>
    <w:p w14:paraId="2591A157" w14:textId="24700A79" w:rsidR="004B465A" w:rsidRPr="008B37D2" w:rsidRDefault="004B465A" w:rsidP="008B37D2">
      <w:pPr>
        <w:pStyle w:val="Heading1"/>
      </w:pPr>
      <w:r w:rsidRPr="008B37D2">
        <w:t>Rehabilitation of Offenders Act 1974</w:t>
      </w:r>
    </w:p>
    <w:p w14:paraId="5EE74864" w14:textId="77777777" w:rsidR="004B465A" w:rsidRPr="0051282B" w:rsidRDefault="004B465A">
      <w:pPr>
        <w:rPr>
          <w:rFonts w:cs="Arial"/>
          <w:szCs w:val="22"/>
        </w:rPr>
      </w:pPr>
    </w:p>
    <w:p w14:paraId="1476A97B" w14:textId="3806B723" w:rsidR="004B465A" w:rsidRPr="0051282B" w:rsidRDefault="004B465A" w:rsidP="008B37D2">
      <w:pPr>
        <w:jc w:val="both"/>
        <w:rPr>
          <w:rFonts w:cs="Arial"/>
          <w:szCs w:val="22"/>
        </w:rPr>
      </w:pPr>
      <w:r w:rsidRPr="0051282B">
        <w:rPr>
          <w:rFonts w:cs="Arial"/>
          <w:szCs w:val="22"/>
        </w:rPr>
        <w:t xml:space="preserve">As part of its recruitment and selection process, </w:t>
      </w:r>
      <w:r w:rsidR="008B37D2">
        <w:rPr>
          <w:rFonts w:cs="Arial"/>
          <w:szCs w:val="22"/>
        </w:rPr>
        <w:t xml:space="preserve">Flaxton Parish </w:t>
      </w:r>
      <w:r w:rsidRPr="0051282B">
        <w:rPr>
          <w:rFonts w:cs="Arial"/>
          <w:szCs w:val="22"/>
        </w:rPr>
        <w:t>Council routinely asks all applicants for details of any criminal records that are not “spent”.</w:t>
      </w:r>
    </w:p>
    <w:p w14:paraId="27509CBE" w14:textId="77777777" w:rsidR="004B465A" w:rsidRPr="0051282B" w:rsidRDefault="004B465A">
      <w:pPr>
        <w:ind w:left="720" w:hanging="720"/>
        <w:jc w:val="both"/>
        <w:rPr>
          <w:rFonts w:cs="Arial"/>
          <w:szCs w:val="22"/>
        </w:rPr>
      </w:pPr>
    </w:p>
    <w:p w14:paraId="5A99DC52" w14:textId="5D327766" w:rsidR="004B465A" w:rsidRPr="0051282B" w:rsidRDefault="004B465A" w:rsidP="008B37D2">
      <w:pPr>
        <w:pStyle w:val="Heading1"/>
      </w:pPr>
      <w:r w:rsidRPr="0051282B">
        <w:t>Note of explanation about the Rehabilitation of Offenders Act 1974</w:t>
      </w:r>
    </w:p>
    <w:p w14:paraId="5BA61193" w14:textId="77777777" w:rsidR="004B465A" w:rsidRPr="0051282B" w:rsidRDefault="004B465A">
      <w:pPr>
        <w:ind w:left="720" w:hanging="720"/>
        <w:jc w:val="both"/>
        <w:rPr>
          <w:rFonts w:cs="Arial"/>
          <w:szCs w:val="22"/>
        </w:rPr>
      </w:pPr>
    </w:p>
    <w:p w14:paraId="0CFD21CD" w14:textId="741B702C" w:rsidR="004B465A" w:rsidRPr="0051282B" w:rsidRDefault="004B465A" w:rsidP="008B37D2">
      <w:r w:rsidRPr="0051282B">
        <w:t>Persons convicted of a criminal offence not involving a sentence of more than two and a half years imprisonment and who have had no further convictions within the periods specified below must be treated as though that offence, conviction and sentence had never occurred.  In these circumstances, the individual is to be regarded as rehabilitated and his or her conviction “spent”.</w:t>
      </w:r>
    </w:p>
    <w:p w14:paraId="66067070" w14:textId="77777777" w:rsidR="004B465A" w:rsidRPr="0051282B" w:rsidRDefault="004B465A">
      <w:pPr>
        <w:ind w:left="720" w:hanging="720"/>
        <w:jc w:val="both"/>
        <w:rPr>
          <w:rFonts w:cs="Arial"/>
          <w:szCs w:val="22"/>
        </w:rPr>
      </w:pPr>
    </w:p>
    <w:p w14:paraId="20147705" w14:textId="172100B1" w:rsidR="004B465A" w:rsidRPr="0051282B" w:rsidRDefault="004B465A" w:rsidP="008B37D2">
      <w:pPr>
        <w:pStyle w:val="Heading1"/>
      </w:pPr>
      <w:r w:rsidRPr="0051282B">
        <w:t>Rehabilitation Periods</w:t>
      </w:r>
    </w:p>
    <w:p w14:paraId="4C26B7BC" w14:textId="77777777" w:rsidR="004B465A" w:rsidRPr="0051282B" w:rsidRDefault="004B465A">
      <w:pPr>
        <w:ind w:left="720" w:hanging="720"/>
        <w:jc w:val="both"/>
        <w:rPr>
          <w:rFonts w:cs="Arial"/>
          <w:szCs w:val="22"/>
        </w:rPr>
      </w:pPr>
    </w:p>
    <w:p w14:paraId="046374A0" w14:textId="77777777" w:rsidR="004B465A" w:rsidRPr="0051282B" w:rsidRDefault="0051282B" w:rsidP="008B37D2">
      <w:pPr>
        <w:pStyle w:val="Default"/>
        <w:jc w:val="both"/>
        <w:rPr>
          <w:sz w:val="22"/>
          <w:szCs w:val="22"/>
        </w:rPr>
      </w:pPr>
      <w:r w:rsidRPr="0051282B">
        <w:rPr>
          <w:sz w:val="22"/>
          <w:szCs w:val="22"/>
        </w:rPr>
        <w:t xml:space="preserve">The periods below apply from the end date of the sentence.  These periods are halved for those under eighteen years of age.  </w:t>
      </w:r>
      <w:r w:rsidR="004B465A" w:rsidRPr="0051282B">
        <w:rPr>
          <w:sz w:val="22"/>
          <w:szCs w:val="22"/>
        </w:rPr>
        <w:t>Periods of rehabilitation are as follows, for:</w:t>
      </w:r>
    </w:p>
    <w:p w14:paraId="767DE2FB" w14:textId="77777777" w:rsidR="004B465A" w:rsidRPr="0051282B" w:rsidRDefault="004B465A">
      <w:pPr>
        <w:ind w:left="720" w:hanging="720"/>
        <w:jc w:val="both"/>
        <w:rPr>
          <w:rFonts w:cs="Arial"/>
          <w:szCs w:val="22"/>
        </w:rPr>
      </w:pPr>
      <w:r w:rsidRPr="0051282B">
        <w:rPr>
          <w:rFonts w:cs="Arial"/>
          <w:szCs w:val="22"/>
        </w:rPr>
        <w:tab/>
      </w:r>
    </w:p>
    <w:p w14:paraId="5679B49D" w14:textId="77777777" w:rsidR="00F43F6E" w:rsidRPr="0051282B" w:rsidRDefault="00507349" w:rsidP="00F43F6E">
      <w:pPr>
        <w:pStyle w:val="Default"/>
        <w:numPr>
          <w:ilvl w:val="0"/>
          <w:numId w:val="1"/>
        </w:numPr>
        <w:jc w:val="both"/>
        <w:rPr>
          <w:sz w:val="22"/>
          <w:szCs w:val="22"/>
        </w:rPr>
      </w:pPr>
      <w:r>
        <w:rPr>
          <w:sz w:val="22"/>
          <w:szCs w:val="22"/>
        </w:rPr>
        <w:t>Custodial sentence</w:t>
      </w:r>
      <w:r w:rsidR="00F43F6E" w:rsidRPr="0051282B">
        <w:rPr>
          <w:sz w:val="22"/>
          <w:szCs w:val="22"/>
        </w:rPr>
        <w:t xml:space="preserve"> of over 4 years, or a public protection sentence – never spent</w:t>
      </w:r>
    </w:p>
    <w:p w14:paraId="1612C793" w14:textId="77777777" w:rsidR="00F43F6E" w:rsidRPr="0051282B" w:rsidRDefault="00F43F6E" w:rsidP="00F43F6E">
      <w:pPr>
        <w:pStyle w:val="Default"/>
        <w:numPr>
          <w:ilvl w:val="0"/>
          <w:numId w:val="1"/>
        </w:numPr>
        <w:jc w:val="both"/>
        <w:rPr>
          <w:sz w:val="22"/>
          <w:szCs w:val="22"/>
        </w:rPr>
      </w:pPr>
      <w:r w:rsidRPr="0051282B">
        <w:rPr>
          <w:sz w:val="22"/>
          <w:szCs w:val="22"/>
        </w:rPr>
        <w:t>Custodial sentence of over 30 months (2 ½ years) and up to and including 48 months (4 years) – seven years</w:t>
      </w:r>
    </w:p>
    <w:p w14:paraId="697F1264" w14:textId="77777777" w:rsidR="00F43F6E" w:rsidRPr="0051282B" w:rsidRDefault="00F43F6E" w:rsidP="00F43F6E">
      <w:pPr>
        <w:pStyle w:val="Default"/>
        <w:numPr>
          <w:ilvl w:val="0"/>
          <w:numId w:val="1"/>
        </w:numPr>
        <w:jc w:val="both"/>
        <w:rPr>
          <w:sz w:val="22"/>
          <w:szCs w:val="22"/>
        </w:rPr>
      </w:pPr>
      <w:r w:rsidRPr="0051282B">
        <w:rPr>
          <w:sz w:val="22"/>
          <w:szCs w:val="22"/>
        </w:rPr>
        <w:t>Custodial sentence of over 6 months and up to and including 30 months (2 ½ years) – four years</w:t>
      </w:r>
    </w:p>
    <w:p w14:paraId="4AF164D0" w14:textId="77777777" w:rsidR="00F43F6E" w:rsidRPr="0051282B" w:rsidRDefault="00F43F6E" w:rsidP="00F43F6E">
      <w:pPr>
        <w:pStyle w:val="Default"/>
        <w:numPr>
          <w:ilvl w:val="0"/>
          <w:numId w:val="1"/>
        </w:numPr>
        <w:jc w:val="both"/>
        <w:rPr>
          <w:sz w:val="22"/>
          <w:szCs w:val="22"/>
        </w:rPr>
      </w:pPr>
      <w:r w:rsidRPr="0051282B">
        <w:rPr>
          <w:sz w:val="22"/>
          <w:szCs w:val="22"/>
        </w:rPr>
        <w:t>Custodial sentence of 6 months or less – two years</w:t>
      </w:r>
    </w:p>
    <w:p w14:paraId="29B55B47" w14:textId="77777777" w:rsidR="00F43F6E" w:rsidRPr="0051282B" w:rsidRDefault="00F43F6E" w:rsidP="00F43F6E">
      <w:pPr>
        <w:pStyle w:val="Default"/>
        <w:numPr>
          <w:ilvl w:val="0"/>
          <w:numId w:val="1"/>
        </w:numPr>
        <w:jc w:val="both"/>
        <w:rPr>
          <w:sz w:val="22"/>
          <w:szCs w:val="22"/>
        </w:rPr>
      </w:pPr>
      <w:r w:rsidRPr="0051282B">
        <w:rPr>
          <w:sz w:val="22"/>
          <w:szCs w:val="22"/>
        </w:rPr>
        <w:t>Community order</w:t>
      </w:r>
      <w:r w:rsidR="00507349">
        <w:rPr>
          <w:sz w:val="22"/>
          <w:szCs w:val="22"/>
        </w:rPr>
        <w:t xml:space="preserve"> or youth rehabilitation order</w:t>
      </w:r>
      <w:r w:rsidRPr="0051282B">
        <w:rPr>
          <w:sz w:val="22"/>
          <w:szCs w:val="22"/>
        </w:rPr>
        <w:t xml:space="preserve"> - one year</w:t>
      </w:r>
    </w:p>
    <w:p w14:paraId="2D7B72DC" w14:textId="77777777" w:rsidR="00F43F6E" w:rsidRPr="0051282B" w:rsidRDefault="00F43F6E" w:rsidP="00F43F6E">
      <w:pPr>
        <w:pStyle w:val="Default"/>
        <w:ind w:left="720"/>
        <w:jc w:val="both"/>
        <w:rPr>
          <w:sz w:val="22"/>
          <w:szCs w:val="22"/>
        </w:rPr>
      </w:pPr>
    </w:p>
    <w:p w14:paraId="73F22102" w14:textId="7D4ECB33" w:rsidR="00F43F6E" w:rsidRPr="0051282B" w:rsidRDefault="0051282B" w:rsidP="008B37D2">
      <w:pPr>
        <w:pStyle w:val="Default"/>
        <w:jc w:val="both"/>
        <w:rPr>
          <w:sz w:val="22"/>
          <w:szCs w:val="22"/>
        </w:rPr>
      </w:pPr>
      <w:r>
        <w:rPr>
          <w:sz w:val="22"/>
          <w:szCs w:val="22"/>
        </w:rPr>
        <w:t xml:space="preserve">The </w:t>
      </w:r>
      <w:r w:rsidR="00F43F6E" w:rsidRPr="0051282B">
        <w:rPr>
          <w:sz w:val="22"/>
          <w:szCs w:val="22"/>
        </w:rPr>
        <w:t xml:space="preserve">periods </w:t>
      </w:r>
      <w:r>
        <w:rPr>
          <w:sz w:val="22"/>
          <w:szCs w:val="22"/>
        </w:rPr>
        <w:t>below apply from the date of conviction.</w:t>
      </w:r>
    </w:p>
    <w:p w14:paraId="2AE947AF" w14:textId="77777777" w:rsidR="00F43F6E" w:rsidRPr="0051282B" w:rsidRDefault="00F43F6E" w:rsidP="00F43F6E">
      <w:pPr>
        <w:pStyle w:val="Default"/>
        <w:ind w:left="720"/>
        <w:jc w:val="both"/>
        <w:rPr>
          <w:sz w:val="22"/>
          <w:szCs w:val="22"/>
        </w:rPr>
      </w:pPr>
    </w:p>
    <w:p w14:paraId="526FC516" w14:textId="77777777" w:rsidR="00F43F6E" w:rsidRPr="0051282B" w:rsidRDefault="00F43F6E">
      <w:pPr>
        <w:numPr>
          <w:ilvl w:val="0"/>
          <w:numId w:val="1"/>
        </w:numPr>
        <w:jc w:val="both"/>
        <w:rPr>
          <w:rFonts w:cs="Arial"/>
          <w:szCs w:val="22"/>
        </w:rPr>
      </w:pPr>
      <w:r w:rsidRPr="0051282B">
        <w:rPr>
          <w:rFonts w:cs="Arial"/>
          <w:szCs w:val="22"/>
        </w:rPr>
        <w:t>Fine – one year</w:t>
      </w:r>
      <w:r w:rsidR="0051282B" w:rsidRPr="0051282B">
        <w:rPr>
          <w:rFonts w:cs="Arial"/>
          <w:szCs w:val="22"/>
        </w:rPr>
        <w:t xml:space="preserve"> (six months </w:t>
      </w:r>
      <w:r w:rsidR="0051282B">
        <w:rPr>
          <w:rFonts w:cs="Arial"/>
          <w:szCs w:val="22"/>
        </w:rPr>
        <w:t>if aged under eighteen years)</w:t>
      </w:r>
    </w:p>
    <w:p w14:paraId="24E8C5E5" w14:textId="77777777" w:rsidR="00F43F6E" w:rsidRPr="0051282B" w:rsidRDefault="00F43F6E">
      <w:pPr>
        <w:numPr>
          <w:ilvl w:val="0"/>
          <w:numId w:val="1"/>
        </w:numPr>
        <w:jc w:val="both"/>
        <w:rPr>
          <w:rFonts w:cs="Arial"/>
          <w:szCs w:val="22"/>
        </w:rPr>
      </w:pPr>
      <w:r w:rsidRPr="0051282B">
        <w:rPr>
          <w:rFonts w:cs="Arial"/>
          <w:szCs w:val="22"/>
        </w:rPr>
        <w:t>Conditional discharge – period of the order</w:t>
      </w:r>
    </w:p>
    <w:p w14:paraId="10FCA10F" w14:textId="52D6611B" w:rsidR="00F43F6E" w:rsidRPr="0051282B" w:rsidRDefault="00F43F6E">
      <w:pPr>
        <w:numPr>
          <w:ilvl w:val="0"/>
          <w:numId w:val="1"/>
        </w:numPr>
        <w:jc w:val="both"/>
        <w:rPr>
          <w:rFonts w:cs="Arial"/>
          <w:szCs w:val="22"/>
        </w:rPr>
      </w:pPr>
      <w:r w:rsidRPr="0051282B">
        <w:rPr>
          <w:rFonts w:cs="Arial"/>
          <w:szCs w:val="22"/>
        </w:rPr>
        <w:t>Compensation Order - on the discharge of the order</w:t>
      </w:r>
    </w:p>
    <w:p w14:paraId="46BB7F23" w14:textId="77777777" w:rsidR="00F43F6E" w:rsidRPr="0051282B" w:rsidRDefault="00F43F6E">
      <w:pPr>
        <w:numPr>
          <w:ilvl w:val="0"/>
          <w:numId w:val="1"/>
        </w:numPr>
        <w:jc w:val="both"/>
        <w:rPr>
          <w:rFonts w:cs="Arial"/>
          <w:szCs w:val="22"/>
        </w:rPr>
      </w:pPr>
      <w:r w:rsidRPr="0051282B">
        <w:rPr>
          <w:rFonts w:cs="Arial"/>
          <w:szCs w:val="22"/>
        </w:rPr>
        <w:t>Binding over order – period of the order</w:t>
      </w:r>
    </w:p>
    <w:p w14:paraId="22092E85" w14:textId="77777777" w:rsidR="00F43F6E" w:rsidRPr="0051282B" w:rsidRDefault="00F43F6E">
      <w:pPr>
        <w:numPr>
          <w:ilvl w:val="0"/>
          <w:numId w:val="1"/>
        </w:numPr>
        <w:jc w:val="both"/>
        <w:rPr>
          <w:rFonts w:cs="Arial"/>
          <w:szCs w:val="22"/>
        </w:rPr>
      </w:pPr>
      <w:r w:rsidRPr="0051282B">
        <w:rPr>
          <w:rFonts w:cs="Arial"/>
          <w:szCs w:val="22"/>
        </w:rPr>
        <w:t>Attendance centre order – period of the order</w:t>
      </w:r>
    </w:p>
    <w:p w14:paraId="554A5EC2" w14:textId="77777777" w:rsidR="00F43F6E" w:rsidRPr="0051282B" w:rsidRDefault="00F43F6E">
      <w:pPr>
        <w:numPr>
          <w:ilvl w:val="0"/>
          <w:numId w:val="1"/>
        </w:numPr>
        <w:jc w:val="both"/>
        <w:rPr>
          <w:rFonts w:cs="Arial"/>
          <w:szCs w:val="22"/>
        </w:rPr>
      </w:pPr>
      <w:r w:rsidRPr="0051282B">
        <w:rPr>
          <w:rFonts w:cs="Arial"/>
          <w:szCs w:val="22"/>
        </w:rPr>
        <w:t>Hospital order (with or without a restriction order) – period of the order</w:t>
      </w:r>
    </w:p>
    <w:p w14:paraId="21222C65" w14:textId="77777777" w:rsidR="004B465A" w:rsidRPr="0051282B" w:rsidRDefault="004B465A">
      <w:pPr>
        <w:ind w:left="720"/>
        <w:jc w:val="both"/>
        <w:rPr>
          <w:rFonts w:cs="Arial"/>
          <w:szCs w:val="22"/>
        </w:rPr>
      </w:pPr>
    </w:p>
    <w:p w14:paraId="370DD218" w14:textId="77777777" w:rsidR="004B465A" w:rsidRPr="0051282B" w:rsidRDefault="004B465A" w:rsidP="008B37D2">
      <w:pPr>
        <w:jc w:val="both"/>
        <w:rPr>
          <w:rFonts w:cs="Arial"/>
          <w:szCs w:val="22"/>
        </w:rPr>
      </w:pPr>
      <w:r w:rsidRPr="0051282B">
        <w:rPr>
          <w:rFonts w:cs="Arial"/>
          <w:szCs w:val="22"/>
        </w:rPr>
        <w:t>It is relevant for the purposes of the Act whether a sentence was suspended or not.</w:t>
      </w:r>
    </w:p>
    <w:p w14:paraId="2841AD6D" w14:textId="77777777" w:rsidR="004B465A" w:rsidRPr="0051282B" w:rsidRDefault="004B465A">
      <w:pPr>
        <w:ind w:left="720"/>
        <w:jc w:val="both"/>
        <w:rPr>
          <w:rFonts w:cs="Arial"/>
          <w:szCs w:val="22"/>
        </w:rPr>
      </w:pPr>
    </w:p>
    <w:p w14:paraId="7AA6E5BE" w14:textId="77777777" w:rsidR="004B465A" w:rsidRPr="0051282B" w:rsidRDefault="004B465A" w:rsidP="008B37D2">
      <w:pPr>
        <w:jc w:val="both"/>
        <w:rPr>
          <w:rFonts w:cs="Arial"/>
          <w:szCs w:val="22"/>
        </w:rPr>
      </w:pPr>
      <w:r w:rsidRPr="0051282B">
        <w:rPr>
          <w:rFonts w:cs="Arial"/>
          <w:szCs w:val="22"/>
        </w:rPr>
        <w:t>A rehabilitated person cannot be compelled to admit to or reveal “spent” convictions nor may such convictions, that became known, be used as a reason for not employing an applicant, for refusing promotion or for dismissal of an employee unless the position applied for is covered by the Exemptions Order 1975 as described below.</w:t>
      </w:r>
    </w:p>
    <w:p w14:paraId="6FC89E3C" w14:textId="77777777" w:rsidR="004B465A" w:rsidRPr="0051282B" w:rsidRDefault="004B465A">
      <w:pPr>
        <w:jc w:val="both"/>
        <w:rPr>
          <w:rFonts w:cs="Arial"/>
          <w:szCs w:val="22"/>
        </w:rPr>
      </w:pPr>
    </w:p>
    <w:p w14:paraId="7E6B5981" w14:textId="318F113B" w:rsidR="004B465A" w:rsidRPr="0051282B" w:rsidRDefault="004B465A" w:rsidP="008B37D2">
      <w:r w:rsidRPr="0051282B">
        <w:t xml:space="preserve">If the post for which you </w:t>
      </w:r>
      <w:r w:rsidR="008B37D2">
        <w:t xml:space="preserve">are </w:t>
      </w:r>
      <w:r w:rsidRPr="0051282B">
        <w:t xml:space="preserve">applying involves substantial opportunity for access to </w:t>
      </w:r>
      <w:r w:rsidR="0051282B">
        <w:t xml:space="preserve">vulnerable adults and </w:t>
      </w:r>
      <w:r w:rsidRPr="0051282B">
        <w:t xml:space="preserve">children, it </w:t>
      </w:r>
      <w:r w:rsidR="0051282B">
        <w:t xml:space="preserve">may be </w:t>
      </w:r>
      <w:r w:rsidRPr="0051282B">
        <w:t>exempt from the Rehabilitation of Offenders Act 197</w:t>
      </w:r>
      <w:r w:rsidR="0051282B">
        <w:t>4</w:t>
      </w:r>
      <w:r w:rsidRPr="0051282B">
        <w:t xml:space="preserve"> (as amended).  This means that any convictions, cautions, bind-overs, or pending prosecutions you may have must be declared even if they would otherwise be regarded as “spent” under the Act.</w:t>
      </w:r>
    </w:p>
    <w:p w14:paraId="7755B7D9" w14:textId="77777777" w:rsidR="004B465A" w:rsidRPr="0051282B" w:rsidRDefault="004B465A">
      <w:pPr>
        <w:ind w:left="720" w:hanging="720"/>
        <w:jc w:val="both"/>
        <w:rPr>
          <w:rFonts w:cs="Arial"/>
          <w:szCs w:val="22"/>
        </w:rPr>
      </w:pPr>
    </w:p>
    <w:p w14:paraId="2E7B0821" w14:textId="2E598AD3" w:rsidR="004B465A" w:rsidRPr="0051282B" w:rsidRDefault="004B465A" w:rsidP="008B37D2">
      <w:r w:rsidRPr="0051282B">
        <w:t>The Council is entitled to check with the Police for the existence and content of any criminal record of the successful applicant.  Information received from the Police will be kept in strict confidence and will be destroyed immediately after the selection process is completed</w:t>
      </w:r>
    </w:p>
    <w:p w14:paraId="40F39D0D" w14:textId="77777777" w:rsidR="004B465A" w:rsidRPr="0051282B" w:rsidRDefault="004B465A">
      <w:pPr>
        <w:jc w:val="both"/>
        <w:rPr>
          <w:rFonts w:cs="Arial"/>
          <w:szCs w:val="22"/>
        </w:rPr>
      </w:pPr>
    </w:p>
    <w:p w14:paraId="37B4AFFE" w14:textId="77777777" w:rsidR="00861908" w:rsidRDefault="00861908">
      <w:r>
        <w:br w:type="page"/>
      </w:r>
    </w:p>
    <w:p w14:paraId="5CDCC500" w14:textId="524B8EDE" w:rsidR="004B465A" w:rsidRPr="0051282B" w:rsidRDefault="004B465A" w:rsidP="008B37D2">
      <w:r w:rsidRPr="0051282B">
        <w:lastRenderedPageBreak/>
        <w:t>The disclosure of a criminal record, or other information, will not debar you from appointment unless the</w:t>
      </w:r>
      <w:r w:rsidR="0051282B">
        <w:t xml:space="preserve"> Council </w:t>
      </w:r>
      <w:r w:rsidRPr="0051282B">
        <w:t>considers that the conviction renders you unsuitable for appointment.  In making this decision, the Council will consider the nature of the</w:t>
      </w:r>
      <w:r w:rsidR="0051282B">
        <w:t xml:space="preserve"> off</w:t>
      </w:r>
      <w:r w:rsidRPr="0051282B">
        <w:t xml:space="preserve">ence, how long ago and what </w:t>
      </w:r>
      <w:proofErr w:type="spellStart"/>
      <w:r w:rsidRPr="0051282B">
        <w:t>age</w:t>
      </w:r>
      <w:proofErr w:type="spellEnd"/>
      <w:r w:rsidRPr="0051282B">
        <w:t xml:space="preserve"> you were when it was committed and any other factors which may be relevant, including appropriate considerations in relation to the Council’s Equal Opportunities Policy.</w:t>
      </w:r>
    </w:p>
    <w:p w14:paraId="1C7E8391" w14:textId="77777777" w:rsidR="004B465A" w:rsidRPr="0051282B" w:rsidRDefault="004B465A">
      <w:pPr>
        <w:jc w:val="both"/>
        <w:rPr>
          <w:rFonts w:cs="Arial"/>
          <w:szCs w:val="22"/>
        </w:rPr>
      </w:pPr>
    </w:p>
    <w:p w14:paraId="3C8A211A" w14:textId="2192D67E" w:rsidR="004B465A" w:rsidRPr="0051282B" w:rsidRDefault="004B465A">
      <w:pPr>
        <w:jc w:val="both"/>
        <w:rPr>
          <w:rFonts w:cs="Arial"/>
          <w:szCs w:val="22"/>
        </w:rPr>
      </w:pPr>
      <w:r w:rsidRPr="0051282B">
        <w:rPr>
          <w:rFonts w:cs="Arial"/>
          <w:szCs w:val="22"/>
        </w:rPr>
        <w:t>The information you give will be treated in confidence.</w:t>
      </w:r>
    </w:p>
    <w:p w14:paraId="1A24AA9B" w14:textId="77777777" w:rsidR="004B465A" w:rsidRPr="0051282B" w:rsidRDefault="004B465A">
      <w:pPr>
        <w:jc w:val="both"/>
        <w:rPr>
          <w:rFonts w:cs="Arial"/>
          <w:szCs w:val="22"/>
        </w:rPr>
      </w:pPr>
    </w:p>
    <w:p w14:paraId="0BB1ACB7" w14:textId="77777777" w:rsidR="004B465A" w:rsidRPr="0051282B" w:rsidRDefault="004B465A">
      <w:pPr>
        <w:jc w:val="both"/>
        <w:rPr>
          <w:rFonts w:cs="Arial"/>
          <w:b/>
          <w:bCs/>
          <w:szCs w:val="22"/>
        </w:rPr>
      </w:pPr>
      <w:r w:rsidRPr="0051282B">
        <w:rPr>
          <w:rFonts w:cs="Arial"/>
          <w:b/>
          <w:bCs/>
          <w:szCs w:val="22"/>
        </w:rPr>
        <w:t>Failure to declare a conviction, caution or bind-over may disqualify you from appointment, or result in summary dismissal if the discrepancy comes to light.</w:t>
      </w:r>
    </w:p>
    <w:p w14:paraId="3A3BA8FF" w14:textId="77777777" w:rsidR="004B465A" w:rsidRPr="0051282B" w:rsidRDefault="004B465A">
      <w:pPr>
        <w:pBdr>
          <w:bottom w:val="single" w:sz="12" w:space="1" w:color="auto"/>
        </w:pBdr>
        <w:jc w:val="both"/>
        <w:rPr>
          <w:rFonts w:cs="Arial"/>
          <w:b/>
          <w:bCs/>
          <w:szCs w:val="22"/>
        </w:rPr>
      </w:pPr>
    </w:p>
    <w:p w14:paraId="1DCF012D" w14:textId="77777777" w:rsidR="004B465A" w:rsidRPr="0051282B" w:rsidRDefault="004B465A">
      <w:pPr>
        <w:jc w:val="both"/>
        <w:rPr>
          <w:rFonts w:cs="Arial"/>
          <w:b/>
          <w:bCs/>
          <w:szCs w:val="22"/>
        </w:rPr>
      </w:pPr>
    </w:p>
    <w:p w14:paraId="296CDA37" w14:textId="77777777" w:rsidR="004B465A" w:rsidRPr="0051282B" w:rsidRDefault="004B465A">
      <w:pPr>
        <w:jc w:val="both"/>
        <w:rPr>
          <w:rFonts w:cs="Arial"/>
          <w:b/>
          <w:bCs/>
          <w:szCs w:val="22"/>
        </w:rPr>
      </w:pPr>
      <w:r w:rsidRPr="0051282B">
        <w:rPr>
          <w:rFonts w:cs="Arial"/>
          <w:b/>
          <w:bCs/>
          <w:szCs w:val="22"/>
        </w:rPr>
        <w:t>Please give details of any pending prosecutions or convictions you may have (including any otherwise regarded as “spent” under the Rehabilitation of Offenders Act 1974) and any cautions or bind-overs.</w:t>
      </w:r>
    </w:p>
    <w:p w14:paraId="4FFC32AA" w14:textId="77777777" w:rsidR="004B465A" w:rsidRPr="0051282B" w:rsidRDefault="004B465A">
      <w:pPr>
        <w:jc w:val="both"/>
        <w:rPr>
          <w:rFonts w:cs="Arial"/>
          <w:b/>
          <w:bCs/>
          <w:szCs w:val="22"/>
        </w:rPr>
      </w:pPr>
    </w:p>
    <w:p w14:paraId="193096ED" w14:textId="73488887" w:rsidR="004B465A" w:rsidRPr="0051282B" w:rsidRDefault="004B465A">
      <w:pPr>
        <w:jc w:val="both"/>
        <w:rPr>
          <w:rFonts w:cs="Arial"/>
          <w:b/>
          <w:bCs/>
          <w:szCs w:val="22"/>
        </w:rPr>
      </w:pPr>
      <w:r w:rsidRPr="0051282B">
        <w:rPr>
          <w:rFonts w:cs="Arial"/>
          <w:b/>
          <w:bCs/>
          <w:szCs w:val="22"/>
        </w:rPr>
        <w:t>If you have no such convictions, cautions or bind-overs please state this to be so</w:t>
      </w:r>
      <w:r w:rsidR="00062F8D">
        <w:rPr>
          <w:rFonts w:cs="Arial"/>
          <w:b/>
          <w:bCs/>
          <w:szCs w:val="22"/>
        </w:rPr>
        <w:t>.</w:t>
      </w:r>
    </w:p>
    <w:p w14:paraId="781ABC8A" w14:textId="77777777" w:rsidR="004B465A" w:rsidRPr="0051282B" w:rsidRDefault="004B465A">
      <w:pPr>
        <w:jc w:val="both"/>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B465A" w:rsidRPr="0051282B" w14:paraId="33A72BB1" w14:textId="77777777">
        <w:tc>
          <w:tcPr>
            <w:tcW w:w="9000" w:type="dxa"/>
          </w:tcPr>
          <w:p w14:paraId="34BFEE0C" w14:textId="77777777" w:rsidR="004B465A" w:rsidRPr="0051282B" w:rsidRDefault="004B465A">
            <w:pPr>
              <w:jc w:val="both"/>
              <w:rPr>
                <w:rFonts w:cs="Arial"/>
                <w:b/>
                <w:bCs/>
                <w:szCs w:val="22"/>
              </w:rPr>
            </w:pPr>
          </w:p>
          <w:p w14:paraId="421C1C33" w14:textId="77777777" w:rsidR="004B465A" w:rsidRPr="0051282B" w:rsidRDefault="004B465A">
            <w:pPr>
              <w:jc w:val="both"/>
              <w:rPr>
                <w:rFonts w:cs="Arial"/>
                <w:b/>
                <w:bCs/>
                <w:szCs w:val="22"/>
              </w:rPr>
            </w:pPr>
          </w:p>
          <w:p w14:paraId="4B72A233" w14:textId="77777777" w:rsidR="004B465A" w:rsidRPr="0051282B" w:rsidRDefault="004B465A">
            <w:pPr>
              <w:jc w:val="both"/>
              <w:rPr>
                <w:rFonts w:cs="Arial"/>
                <w:b/>
                <w:bCs/>
                <w:szCs w:val="22"/>
              </w:rPr>
            </w:pPr>
          </w:p>
          <w:p w14:paraId="07C557EC" w14:textId="77777777" w:rsidR="004B465A" w:rsidRPr="0051282B" w:rsidRDefault="004B465A">
            <w:pPr>
              <w:jc w:val="both"/>
              <w:rPr>
                <w:rFonts w:cs="Arial"/>
                <w:b/>
                <w:bCs/>
                <w:szCs w:val="22"/>
              </w:rPr>
            </w:pPr>
          </w:p>
          <w:p w14:paraId="38CAA099" w14:textId="77777777" w:rsidR="004B465A" w:rsidRPr="0051282B" w:rsidRDefault="004B465A">
            <w:pPr>
              <w:jc w:val="both"/>
              <w:rPr>
                <w:rFonts w:cs="Arial"/>
                <w:b/>
                <w:bCs/>
                <w:szCs w:val="22"/>
              </w:rPr>
            </w:pPr>
          </w:p>
          <w:p w14:paraId="507FD955" w14:textId="77777777" w:rsidR="004B465A" w:rsidRPr="0051282B" w:rsidRDefault="004B465A">
            <w:pPr>
              <w:jc w:val="both"/>
              <w:rPr>
                <w:rFonts w:cs="Arial"/>
                <w:b/>
                <w:bCs/>
                <w:szCs w:val="22"/>
              </w:rPr>
            </w:pPr>
          </w:p>
          <w:p w14:paraId="53C18438" w14:textId="77777777" w:rsidR="004B465A" w:rsidRPr="0051282B" w:rsidRDefault="004B465A">
            <w:pPr>
              <w:jc w:val="both"/>
              <w:rPr>
                <w:rFonts w:cs="Arial"/>
                <w:b/>
                <w:bCs/>
                <w:szCs w:val="22"/>
              </w:rPr>
            </w:pPr>
          </w:p>
          <w:p w14:paraId="41FA393A" w14:textId="77777777" w:rsidR="004B465A" w:rsidRPr="0051282B" w:rsidRDefault="004B465A">
            <w:pPr>
              <w:jc w:val="both"/>
              <w:rPr>
                <w:rFonts w:cs="Arial"/>
                <w:b/>
                <w:bCs/>
                <w:szCs w:val="22"/>
              </w:rPr>
            </w:pPr>
          </w:p>
          <w:p w14:paraId="37723A97" w14:textId="77777777" w:rsidR="004B465A" w:rsidRPr="0051282B" w:rsidRDefault="004B465A">
            <w:pPr>
              <w:jc w:val="both"/>
              <w:rPr>
                <w:rFonts w:cs="Arial"/>
                <w:b/>
                <w:bCs/>
                <w:szCs w:val="22"/>
              </w:rPr>
            </w:pPr>
          </w:p>
          <w:p w14:paraId="343E8880" w14:textId="77777777" w:rsidR="004B465A" w:rsidRPr="0051282B" w:rsidRDefault="004B465A">
            <w:pPr>
              <w:jc w:val="both"/>
              <w:rPr>
                <w:rFonts w:cs="Arial"/>
                <w:b/>
                <w:bCs/>
                <w:szCs w:val="22"/>
              </w:rPr>
            </w:pPr>
          </w:p>
          <w:p w14:paraId="5E076194" w14:textId="77777777" w:rsidR="004B465A" w:rsidRPr="0051282B" w:rsidRDefault="004B465A">
            <w:pPr>
              <w:jc w:val="both"/>
              <w:rPr>
                <w:rFonts w:cs="Arial"/>
                <w:b/>
                <w:bCs/>
                <w:szCs w:val="22"/>
              </w:rPr>
            </w:pPr>
          </w:p>
          <w:p w14:paraId="5C3744C1" w14:textId="77777777" w:rsidR="004B465A" w:rsidRPr="0051282B" w:rsidRDefault="004B465A">
            <w:pPr>
              <w:jc w:val="both"/>
              <w:rPr>
                <w:rFonts w:cs="Arial"/>
                <w:b/>
                <w:bCs/>
                <w:szCs w:val="22"/>
              </w:rPr>
            </w:pPr>
          </w:p>
          <w:p w14:paraId="4F557FB9" w14:textId="77777777" w:rsidR="004B465A" w:rsidRPr="0051282B" w:rsidRDefault="004B465A">
            <w:pPr>
              <w:jc w:val="both"/>
              <w:rPr>
                <w:rFonts w:cs="Arial"/>
                <w:b/>
                <w:bCs/>
                <w:szCs w:val="22"/>
              </w:rPr>
            </w:pPr>
          </w:p>
          <w:p w14:paraId="1E11AD5B" w14:textId="77777777" w:rsidR="004B465A" w:rsidRPr="0051282B" w:rsidRDefault="004B465A">
            <w:pPr>
              <w:jc w:val="both"/>
              <w:rPr>
                <w:rFonts w:cs="Arial"/>
                <w:b/>
                <w:bCs/>
                <w:szCs w:val="22"/>
              </w:rPr>
            </w:pPr>
          </w:p>
          <w:p w14:paraId="27344B09" w14:textId="77777777" w:rsidR="004B465A" w:rsidRPr="0051282B" w:rsidRDefault="004B465A">
            <w:pPr>
              <w:jc w:val="both"/>
              <w:rPr>
                <w:rFonts w:cs="Arial"/>
                <w:b/>
                <w:bCs/>
                <w:szCs w:val="22"/>
              </w:rPr>
            </w:pPr>
          </w:p>
          <w:p w14:paraId="1C2F5CFB" w14:textId="77777777" w:rsidR="004B465A" w:rsidRPr="0051282B" w:rsidRDefault="004B465A">
            <w:pPr>
              <w:jc w:val="both"/>
              <w:rPr>
                <w:rFonts w:cs="Arial"/>
                <w:b/>
                <w:bCs/>
                <w:szCs w:val="22"/>
              </w:rPr>
            </w:pPr>
          </w:p>
          <w:p w14:paraId="600ED250" w14:textId="77777777" w:rsidR="004B465A" w:rsidRPr="0051282B" w:rsidRDefault="004B465A">
            <w:pPr>
              <w:jc w:val="both"/>
              <w:rPr>
                <w:rFonts w:cs="Arial"/>
                <w:b/>
                <w:bCs/>
                <w:szCs w:val="22"/>
              </w:rPr>
            </w:pPr>
          </w:p>
        </w:tc>
      </w:tr>
    </w:tbl>
    <w:p w14:paraId="2F43FCF8" w14:textId="77777777" w:rsidR="004B465A" w:rsidRPr="0051282B" w:rsidRDefault="004B465A">
      <w:pPr>
        <w:jc w:val="both"/>
        <w:rPr>
          <w:rFonts w:cs="Arial"/>
          <w:b/>
          <w:bCs/>
          <w:szCs w:val="22"/>
        </w:rPr>
      </w:pPr>
    </w:p>
    <w:p w14:paraId="5E4C7D80" w14:textId="77777777" w:rsidR="004B465A" w:rsidRPr="0051282B" w:rsidRDefault="004B465A">
      <w:pPr>
        <w:jc w:val="both"/>
        <w:rPr>
          <w:rFonts w:cs="Arial"/>
          <w:szCs w:val="22"/>
        </w:rPr>
      </w:pPr>
    </w:p>
    <w:p w14:paraId="37777550" w14:textId="77777777" w:rsidR="004B465A" w:rsidRPr="0051282B" w:rsidRDefault="004B465A">
      <w:pPr>
        <w:jc w:val="both"/>
        <w:rPr>
          <w:rFonts w:cs="Arial"/>
          <w:b/>
          <w:bCs/>
          <w:szCs w:val="22"/>
        </w:rPr>
      </w:pPr>
      <w:r w:rsidRPr="0051282B">
        <w:rPr>
          <w:rFonts w:cs="Arial"/>
          <w:b/>
          <w:bCs/>
          <w:szCs w:val="22"/>
        </w:rPr>
        <w:t>I realise that any failure to declare a conviction, caution or bind-over may disqualify me from appointment or result in summary dismissal if the discrepancy comes to light.</w:t>
      </w:r>
    </w:p>
    <w:p w14:paraId="7CDC416B" w14:textId="77777777" w:rsidR="004B465A" w:rsidRPr="0051282B" w:rsidRDefault="004B465A">
      <w:pPr>
        <w:ind w:left="720" w:hanging="720"/>
        <w:jc w:val="both"/>
        <w:rPr>
          <w:rFonts w:cs="Arial"/>
          <w:szCs w:val="22"/>
        </w:rPr>
      </w:pPr>
    </w:p>
    <w:p w14:paraId="28C6B164" w14:textId="77777777" w:rsidR="0051282B" w:rsidRDefault="0051282B">
      <w:pPr>
        <w:ind w:left="720" w:hanging="720"/>
        <w:jc w:val="both"/>
        <w:rPr>
          <w:rFonts w:cs="Arial"/>
          <w:szCs w:val="22"/>
        </w:rPr>
      </w:pPr>
    </w:p>
    <w:p w14:paraId="69900532" w14:textId="77777777" w:rsidR="004B465A" w:rsidRPr="0051282B" w:rsidRDefault="004B465A">
      <w:pPr>
        <w:ind w:left="720" w:hanging="720"/>
        <w:jc w:val="both"/>
        <w:rPr>
          <w:rFonts w:cs="Arial"/>
          <w:szCs w:val="22"/>
        </w:rPr>
      </w:pPr>
      <w:r w:rsidRPr="0051282B">
        <w:rPr>
          <w:rFonts w:cs="Arial"/>
          <w:szCs w:val="22"/>
        </w:rPr>
        <w:t>Signed:</w:t>
      </w:r>
      <w:r w:rsidRPr="0051282B">
        <w:rPr>
          <w:rFonts w:cs="Arial"/>
          <w:szCs w:val="22"/>
        </w:rPr>
        <w:tab/>
        <w:t>____________________________</w:t>
      </w:r>
      <w:r w:rsidRPr="0051282B">
        <w:rPr>
          <w:rFonts w:cs="Arial"/>
          <w:szCs w:val="22"/>
        </w:rPr>
        <w:tab/>
      </w:r>
      <w:r w:rsidRPr="0051282B">
        <w:rPr>
          <w:rFonts w:cs="Arial"/>
          <w:szCs w:val="22"/>
        </w:rPr>
        <w:tab/>
        <w:t>Date:</w:t>
      </w:r>
      <w:r w:rsidRPr="0051282B">
        <w:rPr>
          <w:rFonts w:cs="Arial"/>
          <w:szCs w:val="22"/>
        </w:rPr>
        <w:tab/>
        <w:t>____________________</w:t>
      </w:r>
    </w:p>
    <w:p w14:paraId="55242E06" w14:textId="77777777" w:rsidR="004B465A" w:rsidRPr="0051282B" w:rsidRDefault="004B465A">
      <w:pPr>
        <w:ind w:left="720" w:hanging="720"/>
        <w:jc w:val="both"/>
        <w:rPr>
          <w:rFonts w:cs="Arial"/>
          <w:szCs w:val="22"/>
        </w:rPr>
      </w:pPr>
    </w:p>
    <w:p w14:paraId="6806745E" w14:textId="77777777" w:rsidR="0051282B" w:rsidRDefault="0051282B">
      <w:pPr>
        <w:ind w:left="720" w:hanging="720"/>
        <w:jc w:val="both"/>
        <w:rPr>
          <w:rFonts w:cs="Arial"/>
          <w:szCs w:val="22"/>
        </w:rPr>
      </w:pPr>
    </w:p>
    <w:p w14:paraId="5AAB3255" w14:textId="77777777" w:rsidR="004B465A" w:rsidRPr="0051282B" w:rsidRDefault="004B465A">
      <w:pPr>
        <w:ind w:left="720" w:hanging="720"/>
        <w:jc w:val="both"/>
        <w:rPr>
          <w:rFonts w:cs="Arial"/>
          <w:b/>
          <w:bCs/>
          <w:szCs w:val="22"/>
        </w:rPr>
      </w:pPr>
      <w:r w:rsidRPr="0051282B">
        <w:rPr>
          <w:rFonts w:cs="Arial"/>
          <w:szCs w:val="22"/>
        </w:rPr>
        <w:t>Post Applied for:</w:t>
      </w:r>
      <w:r w:rsidRPr="0051282B">
        <w:rPr>
          <w:rFonts w:cs="Arial"/>
          <w:szCs w:val="22"/>
        </w:rPr>
        <w:tab/>
        <w:t>_______________________________________________</w:t>
      </w:r>
      <w:r w:rsidRPr="0051282B">
        <w:rPr>
          <w:rFonts w:cs="Arial"/>
          <w:b/>
          <w:bCs/>
          <w:szCs w:val="22"/>
        </w:rPr>
        <w:tab/>
      </w:r>
    </w:p>
    <w:sectPr w:rsidR="004B465A" w:rsidRPr="0051282B" w:rsidSect="008B37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61A4" w14:textId="77777777" w:rsidR="008B37D2" w:rsidRDefault="008B37D2" w:rsidP="008B37D2">
      <w:r>
        <w:separator/>
      </w:r>
    </w:p>
  </w:endnote>
  <w:endnote w:type="continuationSeparator" w:id="0">
    <w:p w14:paraId="5F105EB1" w14:textId="77777777" w:rsidR="008B37D2" w:rsidRDefault="008B37D2" w:rsidP="008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51EF" w14:textId="77777777" w:rsidR="00505176" w:rsidRDefault="00505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28E9" w14:textId="38B09EAB" w:rsidR="00505176" w:rsidRDefault="00505176" w:rsidP="00505176">
    <w:pPr>
      <w:pStyle w:val="Footer"/>
      <w:ind w:right="360"/>
      <w:rPr>
        <w:rFonts w:ascii="Gotham Book" w:hAnsi="Gotham Book"/>
        <w:noProof/>
      </w:rPr>
    </w:pPr>
    <w:r>
      <w:rPr>
        <w:rFonts w:cs="Arial"/>
        <w:sz w:val="16"/>
        <w:szCs w:val="16"/>
      </w:rPr>
      <w:t>December 2015</w:t>
    </w:r>
    <w:r>
      <w:rPr>
        <w:rFonts w:cs="Arial"/>
        <w:sz w:val="16"/>
        <w:szCs w:val="16"/>
      </w:rPr>
      <w:tab/>
    </w:r>
    <w:r w:rsidRPr="00A679B2">
      <w:rPr>
        <w:rFonts w:cs="Arial"/>
        <w:sz w:val="16"/>
        <w:szCs w:val="16"/>
      </w:rPr>
      <w:fldChar w:fldCharType="begin"/>
    </w:r>
    <w:r w:rsidRPr="00A679B2">
      <w:rPr>
        <w:rFonts w:cs="Arial"/>
        <w:sz w:val="16"/>
        <w:szCs w:val="16"/>
      </w:rPr>
      <w:instrText xml:space="preserve"> PAGE   \* MERGEFORMAT </w:instrText>
    </w:r>
    <w:r w:rsidRPr="00A679B2">
      <w:rPr>
        <w:rFonts w:cs="Arial"/>
        <w:sz w:val="16"/>
        <w:szCs w:val="16"/>
      </w:rPr>
      <w:fldChar w:fldCharType="separate"/>
    </w:r>
    <w:r>
      <w:rPr>
        <w:rFonts w:cs="Arial"/>
        <w:sz w:val="16"/>
        <w:szCs w:val="16"/>
      </w:rPr>
      <w:t>1</w:t>
    </w:r>
    <w:r w:rsidRPr="00A679B2">
      <w:rPr>
        <w:rFonts w:cs="Arial"/>
        <w:noProof/>
        <w:sz w:val="16"/>
        <w:szCs w:val="16"/>
      </w:rPr>
      <w:fldChar w:fldCharType="end"/>
    </w:r>
  </w:p>
  <w:p w14:paraId="47120291" w14:textId="77777777" w:rsidR="00505176" w:rsidRDefault="00505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2DE5" w14:textId="77777777" w:rsidR="00505176" w:rsidRDefault="0050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24C1" w14:textId="77777777" w:rsidR="008B37D2" w:rsidRDefault="008B37D2" w:rsidP="008B37D2">
      <w:r>
        <w:separator/>
      </w:r>
    </w:p>
  </w:footnote>
  <w:footnote w:type="continuationSeparator" w:id="0">
    <w:p w14:paraId="6A9E3EE0" w14:textId="77777777" w:rsidR="008B37D2" w:rsidRDefault="008B37D2" w:rsidP="008B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AAEA" w14:textId="77777777" w:rsidR="00505176" w:rsidRDefault="0050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00DD" w14:textId="51C3CE7F" w:rsidR="008B37D2" w:rsidRPr="008B37D2" w:rsidRDefault="008B37D2">
    <w:pPr>
      <w:pStyle w:val="Header"/>
      <w:rPr>
        <w:rFonts w:cs="Arial"/>
        <w:b/>
        <w:bCs/>
        <w:sz w:val="20"/>
        <w:szCs w:val="20"/>
      </w:rPr>
    </w:pPr>
    <w:r w:rsidRPr="008B37D2">
      <w:rPr>
        <w:rFonts w:cs="Arial"/>
        <w:b/>
        <w:bCs/>
        <w:sz w:val="20"/>
        <w:szCs w:val="20"/>
      </w:rPr>
      <w:t>FLAXTON PARISH COUNCIL</w:t>
    </w:r>
  </w:p>
  <w:p w14:paraId="5FD5B7AD" w14:textId="457A4845" w:rsidR="008B37D2" w:rsidRPr="008B37D2" w:rsidRDefault="008B37D2">
    <w:pPr>
      <w:pStyle w:val="Header"/>
      <w:rPr>
        <w:rFonts w:cs="Arial"/>
        <w:b/>
        <w:bCs/>
        <w:sz w:val="20"/>
        <w:szCs w:val="20"/>
      </w:rPr>
    </w:pPr>
    <w:r w:rsidRPr="008B37D2">
      <w:rPr>
        <w:rFonts w:cs="Arial"/>
        <w:b/>
        <w:bCs/>
        <w:sz w:val="20"/>
        <w:szCs w:val="20"/>
      </w:rPr>
      <w:t>REHABILITATION OF OFFENDERS ACT 1974</w:t>
    </w:r>
  </w:p>
  <w:p w14:paraId="7F334652" w14:textId="77777777" w:rsidR="008B37D2" w:rsidRDefault="008B3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D3A3" w14:textId="77777777" w:rsidR="00505176" w:rsidRDefault="0050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BA3"/>
    <w:multiLevelType w:val="hybridMultilevel"/>
    <w:tmpl w:val="6DB08FE2"/>
    <w:lvl w:ilvl="0" w:tplc="396AEB7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E"/>
    <w:rsid w:val="00062F8D"/>
    <w:rsid w:val="003D7EB3"/>
    <w:rsid w:val="004B465A"/>
    <w:rsid w:val="00505176"/>
    <w:rsid w:val="00507349"/>
    <w:rsid w:val="0051282B"/>
    <w:rsid w:val="00861908"/>
    <w:rsid w:val="008B37D2"/>
    <w:rsid w:val="00F135AE"/>
    <w:rsid w:val="00F4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18D3D"/>
  <w15:chartTrackingRefBased/>
  <w15:docId w15:val="{90F0DBCB-8B62-4AC5-AAD8-098BB5F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D2"/>
    <w:rPr>
      <w:rFonts w:ascii="Arial" w:hAnsi="Arial"/>
      <w:sz w:val="22"/>
      <w:szCs w:val="24"/>
    </w:rPr>
  </w:style>
  <w:style w:type="paragraph" w:styleId="Heading1">
    <w:name w:val="heading 1"/>
    <w:basedOn w:val="Normal"/>
    <w:next w:val="Normal"/>
    <w:link w:val="Heading1Char"/>
    <w:autoRedefine/>
    <w:uiPriority w:val="9"/>
    <w:qFormat/>
    <w:rsid w:val="00861908"/>
    <w:pPr>
      <w:keepNext/>
      <w:outlineLvl w:val="0"/>
    </w:pPr>
    <w:rPr>
      <w:rFonts w:eastAsiaTheme="majorEastAsia" w:cstheme="majorBidi"/>
      <w:b/>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6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B37D2"/>
    <w:pPr>
      <w:tabs>
        <w:tab w:val="center" w:pos="4513"/>
        <w:tab w:val="right" w:pos="9026"/>
      </w:tabs>
    </w:pPr>
  </w:style>
  <w:style w:type="character" w:customStyle="1" w:styleId="HeaderChar">
    <w:name w:val="Header Char"/>
    <w:basedOn w:val="DefaultParagraphFont"/>
    <w:link w:val="Header"/>
    <w:uiPriority w:val="99"/>
    <w:rsid w:val="008B37D2"/>
    <w:rPr>
      <w:sz w:val="24"/>
      <w:szCs w:val="24"/>
    </w:rPr>
  </w:style>
  <w:style w:type="paragraph" w:styleId="Footer">
    <w:name w:val="footer"/>
    <w:basedOn w:val="Normal"/>
    <w:link w:val="FooterChar"/>
    <w:unhideWhenUsed/>
    <w:rsid w:val="008B37D2"/>
    <w:pPr>
      <w:tabs>
        <w:tab w:val="center" w:pos="4513"/>
        <w:tab w:val="right" w:pos="9026"/>
      </w:tabs>
    </w:pPr>
  </w:style>
  <w:style w:type="character" w:customStyle="1" w:styleId="FooterChar">
    <w:name w:val="Footer Char"/>
    <w:basedOn w:val="DefaultParagraphFont"/>
    <w:link w:val="Footer"/>
    <w:uiPriority w:val="99"/>
    <w:rsid w:val="008B37D2"/>
    <w:rPr>
      <w:sz w:val="24"/>
      <w:szCs w:val="24"/>
    </w:rPr>
  </w:style>
  <w:style w:type="character" w:customStyle="1" w:styleId="Heading1Char">
    <w:name w:val="Heading 1 Char"/>
    <w:basedOn w:val="DefaultParagraphFont"/>
    <w:link w:val="Heading1"/>
    <w:uiPriority w:val="9"/>
    <w:rsid w:val="00861908"/>
    <w:rPr>
      <w:rFonts w:ascii="Arial" w:eastAsiaTheme="majorEastAsia" w:hAnsi="Arial" w:cstheme="majorBidi"/>
      <w:b/>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Rehabilitation of Offenders Act 1974</vt:lpstr>
    </vt:vector>
  </TitlesOfParts>
  <Company>Flaxton Parish Council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FPC Recruitment_Rehabilitation of Offenders Act 1974</dc:title>
  <dc:subject/>
  <cp:keywords/>
  <cp:lastModifiedBy>Ian Craven</cp:lastModifiedBy>
  <cp:revision>4</cp:revision>
  <dcterms:created xsi:type="dcterms:W3CDTF">2020-05-11T11:54:00Z</dcterms:created>
  <dcterms:modified xsi:type="dcterms:W3CDTF">2020-05-13T15:54:00Z</dcterms:modified>
</cp:coreProperties>
</file>